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METRAŻERIA SPÓŁKA Z OGRANICZONĄ ODPOWIEDZIALNOŚCIĄ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Biuro sprzedaży: ul. Srebrna 2, 14-200 Nowa Wieś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NIP: 7441840690 | REGON: 541677212 | KRS: 0001171861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PROSPEKT INFORMACYJNY</w:t>
      </w:r>
    </w:p>
    <w:p w:rsidR="00000000" w:rsidDel="00000000" w:rsidP="00000000" w:rsidRDefault="00000000" w:rsidRPr="00000000" w14:paraId="00000008">
      <w:pPr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Inwestycja: budynek wielorodzinny „Kamienica” ul. Wojska Polskiego 24a, Iława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 sporządzenia prospektu: 19.10.2026 r.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CZĘŚĆ OGÓLNA</w:t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I. DANE IDENTYFIKACYJNE I KONTAKTOWE DOTYCZĄCE DEWELOPERA</w:t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4.0" w:type="dxa"/>
        <w:jc w:val="left"/>
        <w:tblBorders>
          <w:top w:color="339966" w:space="0" w:sz="8" w:val="single"/>
          <w:left w:color="339966" w:space="0" w:sz="8" w:val="single"/>
          <w:bottom w:color="339966" w:space="0" w:sz="8" w:val="single"/>
          <w:right w:color="339966" w:space="0" w:sz="8" w:val="single"/>
          <w:insideH w:color="339966" w:space="0" w:sz="6" w:val="single"/>
          <w:insideV w:color="339966" w:space="0" w:sz="6" w:val="single"/>
        </w:tblBorders>
        <w:tblLayout w:type="fixed"/>
        <w:tblLook w:val="0400"/>
      </w:tblPr>
      <w:tblGrid>
        <w:gridCol w:w="2534"/>
        <w:gridCol w:w="5146"/>
        <w:gridCol w:w="1944"/>
        <w:tblGridChange w:id="0">
          <w:tblGrid>
            <w:gridCol w:w="2534"/>
            <w:gridCol w:w="5146"/>
            <w:gridCol w:w="1944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DANE DEWELOPERA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Deweloper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METRAŻERIA SPÓŁKA Z OGRANICZONĄ ODPOWIEDZIALNOŚCIĄ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KRS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0001171861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Adres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KAMIEŃ DUŻY 1C, 14-200 IŁAWA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Numer NIP i REGON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NIP: 7441840690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REGON: 541677212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Numer telefonu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531981124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Adres poczty elektronicznej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biuro@metrazeria.pl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Numer faksu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brak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Adres strony internetowej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www.metrazeria.pl</w:t>
            </w:r>
          </w:p>
        </w:tc>
        <w:tc>
          <w:tcPr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II. DOŚWIADCZENIE DEWELOPERA</w:t>
      </w:r>
    </w:p>
    <w:p w:rsidR="00000000" w:rsidDel="00000000" w:rsidP="00000000" w:rsidRDefault="00000000" w:rsidRPr="00000000" w14:paraId="0000003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4.0" w:type="dxa"/>
        <w:jc w:val="left"/>
        <w:tblLayout w:type="fixed"/>
        <w:tblLook w:val="0400"/>
      </w:tblPr>
      <w:tblGrid>
        <w:gridCol w:w="7508"/>
        <w:gridCol w:w="2126"/>
        <w:tblGridChange w:id="0">
          <w:tblGrid>
            <w:gridCol w:w="7508"/>
            <w:gridCol w:w="2126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HISTORIA I UDOKUMENTOWANE DOŚWIADCZENIE DEWELOPERA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PRZYKŁAD UKOŃCZONEGO PRZEDSIĘWZIĘCIA DEWELOPERSKIEGO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Adres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 rozpoczęcia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 wydania decyzji o pozwoleniu na użytkowanie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PRZYKŁAD INNEGO UKOŃCZONEGO PRZEDSIĘWZIĘCIA DEWELOPERSKIEGO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Adres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 rozpoczęcia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 wydania decyzji o pozwoleniu na użytkowanie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PRZYKŁAD OSTATNIEGO UKOŃCZONEGO PRZEDSIĘWZIĘCIA DEWELOPERSKIEGO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Adres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 rozpoczęcia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 wydania decyzji o pozwoleniu na użytkowanie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Czy przeciwko deweloperowi prowadzono lub prowadzi się postępowania egzekucyjne na kwotę powyżej 100 000 zł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</w:t>
            </w:r>
          </w:p>
        </w:tc>
      </w:tr>
    </w:tbl>
    <w:p w:rsidR="00000000" w:rsidDel="00000000" w:rsidP="00000000" w:rsidRDefault="00000000" w:rsidRPr="00000000" w14:paraId="0000005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III. INFORMACJE DOTYCZĄCE NIERUCHOMOŚCI I PRZEDSIĘWZIĘCIA DEWELOPERSKIEGO</w:t>
      </w:r>
    </w:p>
    <w:p w:rsidR="00000000" w:rsidDel="00000000" w:rsidP="00000000" w:rsidRDefault="00000000" w:rsidRPr="00000000" w14:paraId="0000005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4.0" w:type="dxa"/>
        <w:jc w:val="left"/>
        <w:tblLayout w:type="fixed"/>
        <w:tblLook w:val="0400"/>
      </w:tblPr>
      <w:tblGrid>
        <w:gridCol w:w="3625"/>
        <w:gridCol w:w="6009"/>
        <w:tblGridChange w:id="0">
          <w:tblGrid>
            <w:gridCol w:w="3625"/>
            <w:gridCol w:w="6009"/>
          </w:tblGrid>
        </w:tblGridChange>
      </w:tblGrid>
      <w:tr>
        <w:trPr>
          <w:cantSplit w:val="0"/>
          <w:trHeight w:val="1365" w:hRule="atLeast"/>
          <w:tblHeader w:val="0"/>
        </w:trPr>
        <w:tc>
          <w:tcPr>
            <w:gridSpan w:val="2"/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INFORMACJE DOTYCZĄCE GRUNTU I ZAGOSPODAROWANIA PRZESTRZENNEGO TERENU</w:t>
            </w:r>
          </w:p>
        </w:tc>
      </w:tr>
      <w:tr>
        <w:trPr>
          <w:cantSplit w:val="0"/>
          <w:trHeight w:val="192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Adres, numer działki ewidencyjnej i numer obrębu ewidencyjnego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ul. Wojska Polskiego 24a, 14-200 Iława</w:t>
            </w:r>
          </w:p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Obręb numer 0010 (Iława 10)</w:t>
            </w:r>
          </w:p>
          <w:p w:rsidR="00000000" w:rsidDel="00000000" w:rsidP="00000000" w:rsidRDefault="00000000" w:rsidRPr="00000000" w14:paraId="0000005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Działka numer: 346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Numer księgi wieczystej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EL1I/00067373/9</w:t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Istniejące obciążenia hipoteczne nieruchomości lub wnioski o wpis w dziale czwartym księgi wieczystej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Brak obciążeń hipotecznych (dział IV wolny od wpisów).</w:t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 przypadku braku księgi wieczystej informacja o powierzchni działki i stanie prawnym nieruchomości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220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Informacje dotyczące obiektów istniejących położonych w sąsiedztwie inwestycji i wpływających na warunki życia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 bezpośrednim otoczeniu znajduje się miejska zabudowa wielorodzinna oraz jednorodzinna przy ul. Wojska Polskiego, ciągi piesze oraz drogi miejskie. Brak obiektów stanowiących znaczne uciążliwości zapachowe lub hałasowe.</w:t>
            </w:r>
          </w:p>
        </w:tc>
      </w:tr>
    </w:tbl>
    <w:p w:rsidR="00000000" w:rsidDel="00000000" w:rsidP="00000000" w:rsidRDefault="00000000" w:rsidRPr="00000000" w14:paraId="0000006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34.0" w:type="dxa"/>
        <w:jc w:val="left"/>
        <w:tblLayout w:type="fixed"/>
        <w:tblLook w:val="0400"/>
      </w:tblPr>
      <w:tblGrid>
        <w:gridCol w:w="3605"/>
        <w:gridCol w:w="6029"/>
        <w:tblGridChange w:id="0">
          <w:tblGrid>
            <w:gridCol w:w="3605"/>
            <w:gridCol w:w="6029"/>
          </w:tblGrid>
        </w:tblGridChange>
      </w:tblGrid>
      <w:tr>
        <w:trPr>
          <w:cantSplit w:val="0"/>
          <w:trHeight w:val="192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Akty planowania przestrzennego i inne akty prawne na terenie objętym przedsięwzięciem deweloperskim lub zadaniem inwestycyjnym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Plan ogólny gminy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220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Miejscowy plan zagospodarowania przestrzennego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Uchwała nr LIII/466/18 Rady Miejskiej w Iławie z dnia 23 kwietnia 2018 r. w sprawie uchwalenia Miejscowego Planu Zagospodarowania Przestrzennego Miasta Iławy, ogłoszona w Dzienniku Urzędowym Województwa Warmińsko-Mazurskiego poz. 2746 z dnia 15 czerwca 2018 roku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Miejscowy plan odbudowy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192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Inne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Zalecenia konserwatorskie Warmińsko-Mazurskiego Wojewódzkiego Konserwatora Zabytków (pismo WUOZ-ELBLĄG.5140.10.2025.JD z dnia 28 kwietnia 2025 r.) dotyczące zachowania i remontu elewacji wschodniej (frontowej).</w:t>
            </w:r>
          </w:p>
        </w:tc>
      </w:tr>
    </w:tbl>
    <w:p w:rsidR="00000000" w:rsidDel="00000000" w:rsidP="00000000" w:rsidRDefault="00000000" w:rsidRPr="00000000" w14:paraId="0000007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34.0" w:type="dxa"/>
        <w:jc w:val="left"/>
        <w:tblLayout w:type="fixed"/>
        <w:tblLook w:val="0400"/>
      </w:tblPr>
      <w:tblGrid>
        <w:gridCol w:w="3681"/>
        <w:gridCol w:w="5953"/>
        <w:tblGridChange w:id="0">
          <w:tblGrid>
            <w:gridCol w:w="3681"/>
            <w:gridCol w:w="5953"/>
          </w:tblGrid>
        </w:tblGridChange>
      </w:tblGrid>
      <w:tr>
        <w:trPr>
          <w:cantSplit w:val="0"/>
          <w:trHeight w:val="220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Ustalenia obowiązującego miejscowego planu zagospodarowania przestrzennego dla terenu objętego przedsięwzięciem deweloperskim lub zadaniem inwestycyjnym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Przeznaczenie terenu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Symbol B-MW25 – Tereny zabudowy mieszkaniowej wielorodzinnej.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Maksymalna intensywność zabudowy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Zgodnie z ustaleniami MPZP dla terenu B-MW25.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Maksymalna i minimalna nadziemna intensywność zabudowy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Zgodnie z ustaleniami MPZP dla terenu B-MW25.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Maksymalna powierzchnia zabudowy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Zgodnie z ustaleniami MPZP dla terenu B-MW25.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Maksymalna wysokość zabudowy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Zgodnie z MPZP dla terenu B-MW25 (wysokość projektowanego budynku wynosi 10,63 m).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Minimalny udział procentowy powierzchni biologicznie czynnej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Zgodnie z MPZP dla terenu B-MW25.</w:t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Minimalna liczba miejsc do parkowania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Zaprojektowano 15 naziemnych miejsc postojowych (w tym 3 miejsca przystosowane dla osób niepełnosprawnych).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Warunki ochrony środowiska i zdrowia ludzi, przyrody i krajobrazu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Inwestycja nie wymaga sporządzania raportu oddziaływania na środowisko.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Wymagania dotyczące zabudowy na obszarach szczególnego zagrożenia powodzią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Teren nie jest położony na obszarze zagrożonym powodzią.</w:t>
            </w:r>
          </w:p>
        </w:tc>
      </w:tr>
      <w:tr>
        <w:trPr>
          <w:cantSplit w:val="0"/>
          <w:trHeight w:val="165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Warunki ochrony dziedzictwa kulturowego i zabytków oraz dóbr kultury współczesnej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Elewacja wschodnia budynku stanowi historyczną elewację frontową przeznaczoną do remontu i odrestaurowania zgodnie z wytycznymi konserwatorskimi.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Wymagania dotyczące ochrony innych terenów lub obiektów podlegających ochronie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Warunki i szczegółowe zasady obsługi w zakresie komunikacji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Dostęp do drogi publicznej ul. Wojska Polskiego zapewniony poprzez działkę drogową nr 344.</w:t>
            </w:r>
          </w:p>
        </w:tc>
      </w:tr>
      <w:tr>
        <w:trPr>
          <w:cantSplit w:val="0"/>
          <w:trHeight w:val="192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Warunki i szczegółowe zasady obsługi w zakresie infrastruktury technicznej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Zapewnione przyłącza do miejskiej sieci wodociągowej, kanalizacji sanitarnej i deszczowej, sieci elektroenergetycznej, miejskiej sieci ciepłowniczej oraz sieci teletechnicznej/światłowodowej.</w:t>
            </w:r>
          </w:p>
        </w:tc>
      </w:tr>
    </w:tbl>
    <w:p w:rsidR="00000000" w:rsidDel="00000000" w:rsidP="00000000" w:rsidRDefault="00000000" w:rsidRPr="00000000" w14:paraId="0000008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34.0" w:type="dxa"/>
        <w:jc w:val="left"/>
        <w:tblLayout w:type="fixed"/>
        <w:tblLook w:val="0400"/>
      </w:tblPr>
      <w:tblGrid>
        <w:gridCol w:w="3681"/>
        <w:gridCol w:w="5953"/>
        <w:tblGridChange w:id="0">
          <w:tblGrid>
            <w:gridCol w:w="3681"/>
            <w:gridCol w:w="5953"/>
          </w:tblGrid>
        </w:tblGridChange>
      </w:tblGrid>
      <w:tr>
        <w:trPr>
          <w:cantSplit w:val="0"/>
          <w:trHeight w:val="220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Ustalenia obowiązującego miejscowego planu zagospodarowania przestrzennego dla działek lub ich fragmentów, znajdujących się w odległości do 100 m od granicy terenu objętego przedsięwzięciem deweloperskim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Przeznaczenie terenu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Tereny zabudowy mieszkaniowej wielorodzinnej (MW), tereny zabudowy mieszkaniowej jednorodzinnej (MN), tereny dróg publicznych (KD).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Maksymalna intensywność zabudowy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Zgodnie z MPZP dla sąsiednich kwartałów urbanistycznych.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Maksymalna i minimalna nadziemna intensywność zabudowy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Zgodnie z MPZP dla sąsiednich kwartałów urbanistycznych.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Maksymalna powierzchnia zabudowy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Zgodnie z MPZP dla sąsiednich kwartałów urbanistycznych.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Maksymalna wysokość zabudowy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Zgodnie z MPZP dla sąsiednich kwartałów urbanistycznych.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Minimalny udział procentowy powierzchni biologicznie czynnej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Zgodnie z MPZP dla sąsiednich kwartałów urbanistycznych.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Minimalna liczba miejsc do parkowania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Zgodnie z MPZP dla sąsiednich kwartałów urbanistycznych.</w:t>
            </w:r>
          </w:p>
        </w:tc>
      </w:tr>
    </w:tbl>
    <w:p w:rsidR="00000000" w:rsidDel="00000000" w:rsidP="00000000" w:rsidRDefault="00000000" w:rsidRPr="00000000" w14:paraId="000000A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34.0" w:type="dxa"/>
        <w:jc w:val="left"/>
        <w:tblLayout w:type="fixed"/>
        <w:tblLook w:val="0400"/>
      </w:tblPr>
      <w:tblGrid>
        <w:gridCol w:w="3681"/>
        <w:gridCol w:w="5953"/>
        <w:tblGridChange w:id="0">
          <w:tblGrid>
            <w:gridCol w:w="3681"/>
            <w:gridCol w:w="5953"/>
          </w:tblGrid>
        </w:tblGridChange>
      </w:tblGrid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Ustalenia decyzji o warunkach zabudowy w przypadku braku miejscowego planu zagospodarowania przestrzennego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Funkcja zabudowy i zagospodarowania terenu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 (obowiązuje MPZP)</w:t>
            </w:r>
          </w:p>
        </w:tc>
      </w:tr>
    </w:tbl>
    <w:p w:rsidR="00000000" w:rsidDel="00000000" w:rsidP="00000000" w:rsidRDefault="00000000" w:rsidRPr="00000000" w14:paraId="000000A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634.0" w:type="dxa"/>
        <w:jc w:val="left"/>
        <w:tblLayout w:type="fixed"/>
        <w:tblLook w:val="0400"/>
      </w:tblPr>
      <w:tblGrid>
        <w:gridCol w:w="3681"/>
        <w:gridCol w:w="5953"/>
        <w:tblGridChange w:id="0">
          <w:tblGrid>
            <w:gridCol w:w="3681"/>
            <w:gridCol w:w="5953"/>
          </w:tblGrid>
        </w:tblGridChange>
      </w:tblGrid>
      <w:tr>
        <w:trPr>
          <w:cantSplit w:val="0"/>
          <w:trHeight w:val="165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Informacje dotyczące przewidzianych inwestycji w promieniu 1 km od terenu objętego przedsięwzięciem deweloperskim, zawarte w: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miejscowych planach zagospodarowania przestrzennego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Zgodnie z planami budżetowymi i WPF Gminy Miejskiej Iława – brak zamierzeń inwestycyjnych mogących negatywnie wpływać na walory użytkowe i mieszkaniowe nieruchomości.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decizjach o warunkach zabudowy i zagospodarowania terenu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decizjach o środowiskowych uwarunkowaniach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A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A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uchwałach o obszarach ograniczonego użytkowania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miejscowych planach odbudowy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mapach zagrożenia powodziowego i mapach ryzyka powodziowego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</w:tbl>
    <w:p w:rsidR="00000000" w:rsidDel="00000000" w:rsidP="00000000" w:rsidRDefault="00000000" w:rsidRPr="00000000" w14:paraId="000000B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634.0" w:type="dxa"/>
        <w:jc w:val="left"/>
        <w:tblLayout w:type="fixed"/>
        <w:tblLook w:val="0400"/>
      </w:tblPr>
      <w:tblGrid>
        <w:gridCol w:w="3681"/>
        <w:gridCol w:w="5953"/>
        <w:tblGridChange w:id="0">
          <w:tblGrid>
            <w:gridCol w:w="3681"/>
            <w:gridCol w:w="5953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Ustalenia decyzji w zakresie rozmieszczenia inwestycji celu publicznego: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decyzja o zezwoleniu na realizację inwestycji drogowej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decyzja o ustaleniu lokalizacji linii kolejowej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decyzja o zezwoleniu na realizację inwestycji w zakresie lotniska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decyzja o pozwoleniu na realizację inwestycji w zakresie budowli przeciwpowodziowych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B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decyzja o ustaleniu lokalizacji strategicznej inwestycji w zakresie sieci przesyłowej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C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</w:tbl>
    <w:p w:rsidR="00000000" w:rsidDel="00000000" w:rsidP="00000000" w:rsidRDefault="00000000" w:rsidRPr="00000000" w14:paraId="000000C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INFORMACJE DOTYCZĄCE BUDYNKU</w:t>
      </w:r>
    </w:p>
    <w:p w:rsidR="00000000" w:rsidDel="00000000" w:rsidP="00000000" w:rsidRDefault="00000000" w:rsidRPr="00000000" w14:paraId="000000C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634.0" w:type="dxa"/>
        <w:jc w:val="left"/>
        <w:tblLayout w:type="fixed"/>
        <w:tblLook w:val="0400"/>
      </w:tblPr>
      <w:tblGrid>
        <w:gridCol w:w="4652"/>
        <w:gridCol w:w="4982"/>
        <w:tblGridChange w:id="0">
          <w:tblGrid>
            <w:gridCol w:w="4652"/>
            <w:gridCol w:w="4982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INFORMACJE O POZWOLENIU NA BUDOWĘ I TERMINACH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C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Czy jest pozwolenie na budowę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C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Tak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Czy pozwolenie na budowę jest ostateczne i prawomocne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Tak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Czy pozwolenie na budowę jest zaskarżone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Numer pozwolenia na budowę oraz nazwa organu, który je wydał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C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Decyzja nr 411/2026 z dnia 18.08.2026 r. wydana przez Starostę Powiatu Iławskiego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C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 uprawomocnienia się decyzji o pozwoleniu na użytkowanie budynku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C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D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Data zakończenia budowy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[do uzupełnienia np. 30.06.2028 r.]</w:t>
            </w:r>
          </w:p>
        </w:tc>
      </w:tr>
      <w:tr>
        <w:trPr>
          <w:cantSplit w:val="0"/>
          <w:trHeight w:val="192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Planowany termin rozpoczęcia i zakończenia robót budowlanych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Planowany termin rozpoczęcia robót budowlanych: [do uzupełnienia]</w:t>
            </w:r>
          </w:p>
          <w:p w:rsidR="00000000" w:rsidDel="00000000" w:rsidP="00000000" w:rsidRDefault="00000000" w:rsidRPr="00000000" w14:paraId="000000D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Planowany termin zakończenia robót budowlanych: [do uzupełnienia]</w:t>
            </w:r>
          </w:p>
        </w:tc>
      </w:tr>
    </w:tbl>
    <w:p w:rsidR="00000000" w:rsidDel="00000000" w:rsidP="00000000" w:rsidRDefault="00000000" w:rsidRPr="00000000" w14:paraId="000000D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634.0" w:type="dxa"/>
        <w:jc w:val="left"/>
        <w:tblLayout w:type="fixed"/>
        <w:tblLook w:val="0400"/>
      </w:tblPr>
      <w:tblGrid>
        <w:gridCol w:w="2872"/>
        <w:gridCol w:w="6762"/>
        <w:tblGridChange w:id="0">
          <w:tblGrid>
            <w:gridCol w:w="2872"/>
            <w:gridCol w:w="6762"/>
          </w:tblGrid>
        </w:tblGridChange>
      </w:tblGrid>
      <w:tr>
        <w:trPr>
          <w:cantSplit w:val="0"/>
          <w:trHeight w:val="136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Opis przedsięwzięcia deweloperskiego lub zadania inwestycyjnego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D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D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Liczba budynków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D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Przebudowa i rozbudowa 1 budynku mieszkaniowego wielorodzinnego (12 lokali mieszkalnych) o łącznej planowanej powierzchni użytkowej mieszkań (PUM) 541,26 m², realizowana na działce ewidencyjnej nr 346, obręb 10 przy ul. Wojska Polskiego 24a w Iławie.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D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Rozmieszczenie budynków na nieruchomości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D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 dotyczy (1 budynek wielorodzinny)</w:t>
            </w:r>
          </w:p>
        </w:tc>
      </w:tr>
    </w:tbl>
    <w:p w:rsidR="00000000" w:rsidDel="00000000" w:rsidP="00000000" w:rsidRDefault="00000000" w:rsidRPr="00000000" w14:paraId="000000D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634.0" w:type="dxa"/>
        <w:jc w:val="left"/>
        <w:tblLayout w:type="fixed"/>
        <w:tblLook w:val="0400"/>
      </w:tblPr>
      <w:tblGrid>
        <w:gridCol w:w="2830"/>
        <w:gridCol w:w="6804"/>
        <w:tblGridChange w:id="0">
          <w:tblGrid>
            <w:gridCol w:w="2830"/>
            <w:gridCol w:w="6804"/>
          </w:tblGrid>
        </w:tblGridChange>
      </w:tblGrid>
      <w:tr>
        <w:trPr>
          <w:cantSplit w:val="0"/>
          <w:trHeight w:val="136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D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Sposób pomiaru powierzchni użytkowej lokalu mieszkalnego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D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E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Norma pomiaru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E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PN-ISO 9836:2022-07</w:t>
            </w:r>
          </w:p>
        </w:tc>
      </w:tr>
      <w:tr>
        <w:trPr>
          <w:cantSplit w:val="0"/>
          <w:trHeight w:val="247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E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Opis zasad pomiaru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E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Pomiar powierzchni użytkowej obliczany jest w świetle wyprawionych ścian. Do powierzchni użytkowej lokalu zalicza się powierzchnię pomieszczeń o wysokości w świetle równej lub większej niż 2,2 m w 100%. Powierzchnię o wysokości od 1,4 m do 2,2 m zalicza się w 50%, a poniżej 1,4 m pomija całkowicie. Dokładność pomiarowa wynosi do 0,01 m, a dokładność obliczeniowa do 0,01 m².</w:t>
            </w:r>
          </w:p>
        </w:tc>
      </w:tr>
    </w:tbl>
    <w:p w:rsidR="00000000" w:rsidDel="00000000" w:rsidP="00000000" w:rsidRDefault="00000000" w:rsidRPr="00000000" w14:paraId="000000E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634.0" w:type="dxa"/>
        <w:jc w:val="left"/>
        <w:tblLayout w:type="fixed"/>
        <w:tblLook w:val="0400"/>
      </w:tblPr>
      <w:tblGrid>
        <w:gridCol w:w="5444"/>
        <w:gridCol w:w="4190"/>
        <w:tblGridChange w:id="0">
          <w:tblGrid>
            <w:gridCol w:w="5444"/>
            <w:gridCol w:w="4190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E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Zamierzony sposób i procentowy udział źródeł finansowania przedsięwzięcia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E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E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Rodzaj posiadanych środków finansowych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E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Środki własne (ok. 20%) + kredyt deweloperski (ok. 80%)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E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Instytucje finansowe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E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[Nazwa banku udzielającego kredytu – w trakcie ustaleń]</w:t>
            </w:r>
          </w:p>
        </w:tc>
      </w:tr>
    </w:tbl>
    <w:p w:rsidR="00000000" w:rsidDel="00000000" w:rsidP="00000000" w:rsidRDefault="00000000" w:rsidRPr="00000000" w14:paraId="000000E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634.0" w:type="dxa"/>
        <w:jc w:val="left"/>
        <w:tblLayout w:type="fixed"/>
        <w:tblLook w:val="0400"/>
      </w:tblPr>
      <w:tblGrid>
        <w:gridCol w:w="2615"/>
        <w:gridCol w:w="7019"/>
        <w:tblGridChange w:id="0">
          <w:tblGrid>
            <w:gridCol w:w="2615"/>
            <w:gridCol w:w="7019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E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Środki ochrony nabywców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E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E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Rodzaj rachunku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E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Otwarty mieszkaniowy rachunek powierniczy</w:t>
            </w:r>
          </w:p>
        </w:tc>
      </w:tr>
      <w:tr>
        <w:trPr>
          <w:cantSplit w:val="0"/>
          <w:trHeight w:val="165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Wysokość stawki procentowej na Deweloperski Fundusz Gwarancyjny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0,45%</w:t>
            </w:r>
          </w:p>
        </w:tc>
      </w:tr>
      <w:tr>
        <w:trPr>
          <w:cantSplit w:val="0"/>
          <w:trHeight w:val="274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Główne zasady funkcjonowania wybranego rodzaju zabezpieczenia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Zgodnie z ustawą z dnia 20 maja 2021 r. o ochronie praw nabywcy lokalu mieszkalnego lub domu jednorodzinnego oraz Deweloperskim Funduszu Gwarancyjnym: otwarty mieszkaniowy rachunek powierniczy służy gromadzeniu środków wpłacanych przez nabywców, z którego wypłata zdeponowanych środków na rzecz dewelopera następuje po stwierdzeniu zakończania poszczególnych etapów harmonogramu przedsięwzięcia.</w:t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Nazwa instytucji zapewniającej bezpieczeństwo środków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[Nazwa Banku Prowadzącego Rachunek Powierniczy] oraz Deweloperski Fundusz Gwarancyjny</w:t>
            </w:r>
          </w:p>
        </w:tc>
      </w:tr>
    </w:tbl>
    <w:p w:rsidR="00000000" w:rsidDel="00000000" w:rsidP="00000000" w:rsidRDefault="00000000" w:rsidRPr="00000000" w14:paraId="000000F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634.0" w:type="dxa"/>
        <w:jc w:val="left"/>
        <w:tblLayout w:type="fixed"/>
        <w:tblLook w:val="0400"/>
      </w:tblPr>
      <w:tblGrid>
        <w:gridCol w:w="2874"/>
        <w:gridCol w:w="6760"/>
        <w:tblGridChange w:id="0">
          <w:tblGrid>
            <w:gridCol w:w="2874"/>
            <w:gridCol w:w="6760"/>
          </w:tblGrid>
        </w:tblGridChange>
      </w:tblGrid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Harmonogram przedsięwzięcia deweloperskiego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Etap I (Prace podziemne i fundamentowe)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Odsłonięcie, osuszenie i izolacje pionowe fundamentów, obniżenie posadzki piwnicy z podbudową, płyta żelbetowa pod szyb windowy – [X]% wartości inwestycji – do [Data]</w:t>
            </w:r>
          </w:p>
        </w:tc>
      </w:tr>
      <w:tr>
        <w:trPr>
          <w:cantSplit w:val="0"/>
          <w:trHeight w:val="165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Etap II (Stan surowy i rozbudowa)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Wymiana stropów drewnianych na stalowo-betonowe, rozbudowa części zachodniej, żelbetowa klatka schodowa i szyb windy, nowa konstrukcja dachu z kryciem papą – [X]% wartości inwestycji – do [Data]</w:t>
            </w:r>
          </w:p>
        </w:tc>
      </w:tr>
      <w:tr>
        <w:trPr>
          <w:cantSplit w:val="0"/>
          <w:trHeight w:val="165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Etap III (Elewacje i stolarka)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Montaż stolarki okiennej PCV (złoty dąb) i drzwiowej, odrestaurowanie elewacji wschodniej (konserwacja detali), ocieplenie elewacji zewnętrznych styropianem 20 cm – [X]% wartości inwestycji – do [Data]</w:t>
            </w:r>
          </w:p>
        </w:tc>
      </w:tr>
      <w:tr>
        <w:trPr>
          <w:cantSplit w:val="0"/>
          <w:trHeight w:val="165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Etap IV (Instalacje i wykończenie wewnętrzne)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Instalacje wod-kan, elektryczne, teletechniczne (LAN, RTV, domofon), montaż węzła ciepła (sieć miejska), tynki maszynowe i posadzki w lokalach, montaż windy – [X]% wartości inwestycji – do [Data]</w:t>
            </w:r>
          </w:p>
        </w:tc>
      </w:tr>
      <w:tr>
        <w:trPr>
          <w:cantSplit w:val="0"/>
          <w:trHeight w:val="165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 Etap V (Zagospodarowanie terenu i odbiory)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Wykonanie 15 miejsc postojowych naziemnych, pomieszczenia na odpady, ogrodzenia, dojść i dojazdów, uzyskanie pozwolenia na użytkowanie – [X]% wartości inwestycji – do [Data]</w:t>
            </w:r>
          </w:p>
        </w:tc>
      </w:tr>
    </w:tbl>
    <w:p w:rsidR="00000000" w:rsidDel="00000000" w:rsidP="00000000" w:rsidRDefault="00000000" w:rsidRPr="00000000" w14:paraId="0000010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634.0" w:type="dxa"/>
        <w:jc w:val="left"/>
        <w:tblLayout w:type="fixed"/>
        <w:tblLook w:val="0400"/>
      </w:tblPr>
      <w:tblGrid>
        <w:gridCol w:w="2449"/>
        <w:gridCol w:w="7185"/>
        <w:tblGridChange w:id="0">
          <w:tblGrid>
            <w:gridCol w:w="2449"/>
            <w:gridCol w:w="7185"/>
          </w:tblGrid>
        </w:tblGridChange>
      </w:tblGrid>
      <w:tr>
        <w:trPr>
          <w:cantSplit w:val="0"/>
          <w:trHeight w:val="136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Dopuszczenie waloryzacji ceny oraz zasady waloryzacji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Zasady waloryzacji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Cena została ustalona w oparciu o stawkę podatku VAT obowiązującą w dniu zawarcia Umowy. W przypadku zmiany stawki VAT przed zawarciem umowy przeniesienia własności, Cena ulegnie odpowiedniej zmianie o kwotę wynikającą ze zmiany stawki podatku VAT.</w:t>
            </w:r>
          </w:p>
          <w:p w:rsidR="00000000" w:rsidDel="00000000" w:rsidP="00000000" w:rsidRDefault="00000000" w:rsidRPr="00000000" w14:paraId="000001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W przypadku podwyższenia Ceny na skutek wzrostu stawki VAT, Nabywcy przysługuje prawo do odstąpienia od Umowy w terminie 14 dni od otrzymania zawiadomienia.</w:t>
            </w:r>
          </w:p>
          <w:p w:rsidR="00000000" w:rsidDel="00000000" w:rsidP="00000000" w:rsidRDefault="00000000" w:rsidRPr="00000000" w14:paraId="0000010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Jeżeli zmierzona zgodnie z normą PN-ISO 9836:2022-07 powierzchnia użytkowa lokalu będzie się różniła o więcej niż 2% od powierzchni projektowanej, Cena ulegnie odpowiedniemu rozliczeniu proporcjonalnie do zmiany powierzchni.</w:t>
            </w:r>
          </w:p>
        </w:tc>
      </w:tr>
    </w:tbl>
    <w:p w:rsidR="00000000" w:rsidDel="00000000" w:rsidP="00000000" w:rsidRDefault="00000000" w:rsidRPr="00000000" w14:paraId="0000010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WARUNKI ODSTĄPIENIA OD UMOWY DEWELOPERSKIEJ</w:t>
      </w:r>
    </w:p>
    <w:p w:rsidR="00000000" w:rsidDel="00000000" w:rsidP="00000000" w:rsidRDefault="00000000" w:rsidRPr="00000000" w14:paraId="0000010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634.0" w:type="dxa"/>
        <w:jc w:val="left"/>
        <w:tblLayout w:type="fixed"/>
        <w:tblLook w:val="0400"/>
      </w:tblPr>
      <w:tblGrid>
        <w:gridCol w:w="2399"/>
        <w:gridCol w:w="7235"/>
        <w:tblGridChange w:id="0">
          <w:tblGrid>
            <w:gridCol w:w="2399"/>
            <w:gridCol w:w="7235"/>
          </w:tblGrid>
        </w:tblGridChange>
      </w:tblGrid>
      <w:tr>
        <w:trPr>
          <w:cantSplit w:val="0"/>
          <w:trHeight w:val="136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Warunki na jakich można odstąpić od umowy deweloperskiej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1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Prawo odstąpienia Nabywcy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1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Nabywca ma prawo odstąpić od umowy deweloperskiej w przypadkach określonych w art. 43 ustawy z dnia 20 maja 2021 r. o ochronie praw nabywcy lokalu mieszkalnego lub domu jednorodzinnego oraz Deweloperskim Funduszu Gwarancyjnym (m.in. gdy umowa nie zawiera wymaganych elementów, informacje w umowie nie są zgodne z prospektem, deweloper nie doręczył prospektu lub dane w nim zawarte są niezgodne ze stanem faktycznym/prawnym) – w terminie 30 dni od zawarcia umowy.</w:t>
            </w:r>
          </w:p>
          <w:p w:rsidR="00000000" w:rsidDel="00000000" w:rsidP="00000000" w:rsidRDefault="00000000" w:rsidRPr="00000000" w14:paraId="000001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W przypadku nieprzeniesienia na Nabywcę prawa własności w terminie wynikającym z umowy, Nabywca wyznacza deweloperowi dodatkowy 120-dniowy termin, a po jego bezskutecznym upływie jest uprawniony do odstąpienia od umowy.</w:t>
            </w:r>
          </w:p>
          <w:p w:rsidR="00000000" w:rsidDel="00000000" w:rsidP="00000000" w:rsidRDefault="00000000" w:rsidRPr="00000000" w14:paraId="000001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 Nabywca ma prawo odstąpić od umowy w przypadku nieusunięcia przez dewelopera wady istotnej lokalu lub stwierdzenia istnienia wady istotnej przez rzeczoznawcę.</w:t>
            </w:r>
          </w:p>
          <w:p w:rsidR="00000000" w:rsidDel="00000000" w:rsidP="00000000" w:rsidRDefault="00000000" w:rsidRPr="00000000" w14:paraId="000001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 Nabywca ma prawo odstąpić od umowy, jeżeli powierzchnia użytkowa lokalu różni się o więcej niż 2% od powierzchni projektowanej określonej w prospekcie.</w:t>
            </w:r>
          </w:p>
        </w:tc>
      </w:tr>
      <w:tr>
        <w:trPr>
          <w:cantSplit w:val="0"/>
          <w:trHeight w:val="330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Prawo odstąpienia Dewelopera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1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Deweloper ma prawo odstąpić od umowy w przypadku niespełnienia przez Nabywcę świadczenia pieniężnego w terminie lub wysokości określonej w umowie, mimo pisemnego wezwania z wyznaczeniem 30-dniowego terminu płatności.</w:t>
            </w:r>
          </w:p>
          <w:p w:rsidR="00000000" w:rsidDel="00000000" w:rsidP="00000000" w:rsidRDefault="00000000" w:rsidRPr="00000000" w14:paraId="000001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Deweloper ma prawo odstąpić od umowy w przypadku niestawienia się Nabywcy do odbioru lokalu lub podpisania aktu notarialnego przenoszącego własność, mimo dwukrotnego doręczenia pisemnego wezwania w odstępie co najmniej 60 dni.</w:t>
            </w:r>
          </w:p>
        </w:tc>
      </w:tr>
    </w:tbl>
    <w:p w:rsidR="00000000" w:rsidDel="00000000" w:rsidP="00000000" w:rsidRDefault="00000000" w:rsidRPr="00000000" w14:paraId="0000011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INNE INFORMACJE</w:t>
      </w:r>
    </w:p>
    <w:p w:rsidR="00000000" w:rsidDel="00000000" w:rsidP="00000000" w:rsidRDefault="00000000" w:rsidRPr="00000000" w14:paraId="0000012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634.0" w:type="dxa"/>
        <w:jc w:val="left"/>
        <w:tblLayout w:type="fixed"/>
        <w:tblLook w:val="0400"/>
      </w:tblPr>
      <w:tblGrid>
        <w:gridCol w:w="2672"/>
        <w:gridCol w:w="6962"/>
        <w:tblGridChange w:id="0">
          <w:tblGrid>
            <w:gridCol w:w="2672"/>
            <w:gridCol w:w="6962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Informacje dodatkowe i prawno-bankowe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I. Zgoda wierzyciela hipotecznego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Deweloper zobowiązuje się do przedłożenia bezobciążeniowej zgody banku (lub innego wierzyciela hipotecznego) na przeniesienie własności lokalu mieszkalnego na Nabywcę po wpłacie pełnej ceny, jeżeli takie obciążenie powstanie.</w:t>
            </w:r>
          </w:p>
        </w:tc>
      </w:tr>
      <w:tr>
        <w:trPr>
          <w:cantSplit w:val="0"/>
          <w:trHeight w:val="41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II. Dostępność dokumentów w lokalu przedsiębiorstwa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Osoba zainteresowana zawarciem umowy ma prawo zapoznać się w siedzibie Dewelopera z:</w:t>
            </w:r>
          </w:p>
          <w:p w:rsidR="00000000" w:rsidDel="00000000" w:rsidP="00000000" w:rsidRDefault="00000000" w:rsidRPr="00000000" w14:paraId="000001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1) Aktualnym stanem księgi wieczystej nieruchomości;</w:t>
            </w:r>
          </w:p>
          <w:p w:rsidR="00000000" w:rsidDel="00000000" w:rsidP="00000000" w:rsidRDefault="00000000" w:rsidRPr="00000000" w14:paraId="000001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2) Aktualnym odpisem z KRS Dewelopera;</w:t>
            </w:r>
          </w:p>
          <w:p w:rsidR="00000000" w:rsidDel="00000000" w:rsidP="00000000" w:rsidRDefault="00000000" w:rsidRPr="00000000" w14:paraId="000001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3) Prawomocną decyzją o pozwoleniu na budowę nr 411/2026;</w:t>
            </w:r>
          </w:p>
          <w:p w:rsidR="00000000" w:rsidDel="00000000" w:rsidP="00000000" w:rsidRDefault="00000000" w:rsidRPr="00000000" w14:paraId="000001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4) Sprawozdaniem finansowym Dewelopera;</w:t>
            </w:r>
          </w:p>
          <w:p w:rsidR="00000000" w:rsidDel="00000000" w:rsidP="00000000" w:rsidRDefault="00000000" w:rsidRPr="00000000" w14:paraId="000001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5) Projektem architektoniczno-budowlanym (PAB).</w:t>
            </w:r>
          </w:p>
        </w:tc>
      </w:tr>
      <w:tr>
        <w:trPr>
          <w:cantSplit w:val="0"/>
          <w:trHeight w:val="192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III. Gwarancja BFG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Środki zgromadzone na mieszkaniowym rachunku powierniczym są objęte ochroną obowiązkowego systemu gwarantowania depozytów zgodnie z ustawą o Bankowym Funduszu Gwarancyjnym do równowartości w złotych 100 000 EUR na jednego deponenta.</w:t>
            </w:r>
          </w:p>
        </w:tc>
      </w:tr>
    </w:tbl>
    <w:p w:rsidR="00000000" w:rsidDel="00000000" w:rsidP="00000000" w:rsidRDefault="00000000" w:rsidRPr="00000000" w14:paraId="0000013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IV. CZĘŚĆ INDYWIDUALNA</w:t>
      </w:r>
    </w:p>
    <w:p w:rsidR="00000000" w:rsidDel="00000000" w:rsidP="00000000" w:rsidRDefault="00000000" w:rsidRPr="00000000" w14:paraId="0000013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032.0" w:type="dxa"/>
        <w:jc w:val="left"/>
        <w:tblLayout w:type="fixed"/>
        <w:tblLook w:val="0400"/>
      </w:tblPr>
      <w:tblGrid>
        <w:gridCol w:w="5539"/>
        <w:gridCol w:w="3493"/>
        <w:tblGridChange w:id="0">
          <w:tblGrid>
            <w:gridCol w:w="5539"/>
            <w:gridCol w:w="3493"/>
          </w:tblGrid>
        </w:tblGridChange>
      </w:tblGrid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DANE LOKALU MIESZKALNEGO (PRZYKŁAD: LOKAL M12)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Cena lokalu mieszkalnego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[Np. XXX XXX zł brutto]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Powierzchnia użytkowa lokalu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45,53 m²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Cena m² powierzchni użytkowej lokalu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[Np. X XXX zł/m²]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Termin, do którego nastąpi przeniesienie prawa własności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[do uzupełnienia np. 30.09.2028 r.]</w:t>
            </w:r>
          </w:p>
        </w:tc>
      </w:tr>
    </w:tbl>
    <w:p w:rsidR="00000000" w:rsidDel="00000000" w:rsidP="00000000" w:rsidRDefault="00000000" w:rsidRPr="00000000" w14:paraId="0000014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634.0" w:type="dxa"/>
        <w:jc w:val="left"/>
        <w:tblLayout w:type="fixed"/>
        <w:tblLook w:val="0400"/>
      </w:tblPr>
      <w:tblGrid>
        <w:gridCol w:w="2209"/>
        <w:gridCol w:w="7425"/>
        <w:tblGridChange w:id="0">
          <w:tblGrid>
            <w:gridCol w:w="2209"/>
            <w:gridCol w:w="7425"/>
          </w:tblGrid>
        </w:tblGridChange>
      </w:tblGrid>
      <w:tr>
        <w:trPr>
          <w:cantSplit w:val="0"/>
          <w:trHeight w:val="136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Określenie położenia oraz istotnych cech budynku i lokalu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Liczba kondygnacji w budynku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kondygnacje nadziemne / 1 podziemna (piwnica)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Położenie lokalu w budynku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II piętro (kondygnacja +3)</w:t>
            </w:r>
          </w:p>
        </w:tc>
      </w:tr>
      <w:tr>
        <w:trPr>
          <w:cantSplit w:val="0"/>
          <w:trHeight w:val="274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Układ pomieszczeń w lokalu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4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Salon: 15,84 m²</w:t>
            </w:r>
          </w:p>
          <w:p w:rsidR="00000000" w:rsidDel="00000000" w:rsidP="00000000" w:rsidRDefault="00000000" w:rsidRPr="00000000" w14:paraId="000001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Sypialnia: 12,14 m²</w:t>
            </w:r>
          </w:p>
          <w:p w:rsidR="00000000" w:rsidDel="00000000" w:rsidP="00000000" w:rsidRDefault="00000000" w:rsidRPr="00000000" w14:paraId="0000014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Hol: 7,80 m²</w:t>
            </w:r>
          </w:p>
          <w:p w:rsidR="00000000" w:rsidDel="00000000" w:rsidP="00000000" w:rsidRDefault="00000000" w:rsidRPr="00000000" w14:paraId="000001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Aneks kuchenny: 5,60 m²</w:t>
            </w:r>
          </w:p>
          <w:p w:rsidR="00000000" w:rsidDel="00000000" w:rsidP="00000000" w:rsidRDefault="00000000" w:rsidRPr="00000000" w14:paraId="0000015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Łazienka: 4,15 m²</w:t>
            </w:r>
          </w:p>
        </w:tc>
      </w:tr>
      <w:tr>
        <w:trPr>
          <w:cantSplit w:val="0"/>
          <w:trHeight w:val="303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Technologia wykonania budynku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Przebudowa i rozbudowa istniejącej kamienicy. Ściany nośne murowane z cegły pełnej i silikatowej (rozbudowa). Stropy międzypiętrowe stalowo-betonowe z izolacją akustyczną i sufitami podwieszanymi GKB (REI30). Centralna klatka schodowa żelbetowa z windą cichobieżną. Dach płaski o konstrukcji drewnianej, ocieplony wełną mineralną (20 cm), kryty papą termozgrzewalną. Elewacja wschodnia sztukatorsko odrestaurowana, pozostałe elewacje ocieplone styropianem 20 cm.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Liczba lokali w budynku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 lokali mieszkalnych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Liczba miejsc garażowych i postojowych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 naziemnych miejsc postojowych (w tym 3 miejsca dla osób niepełnosprawnych)</w:t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Dostępne media w budynku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Energia elektryczna, woda zimna i kanalizacja miejska, ogrzewanie i C.W.U. z miejskiej sieci ciepłowniczej (węzeł w piwnicy), sieć światłowodowa/LAN, instalacja domofonowa oraz RTV DVB-T/SAT.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Dostęp do drogi publicznej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Dostęp do drogi publicznej ul. Wojska Polskiego zapewniony przez działkę drogową nr 344.</w:t>
            </w:r>
          </w:p>
        </w:tc>
      </w:tr>
    </w:tbl>
    <w:p w:rsidR="00000000" w:rsidDel="00000000" w:rsidP="00000000" w:rsidRDefault="00000000" w:rsidRPr="00000000" w14:paraId="0000015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634.0" w:type="dxa"/>
        <w:jc w:val="left"/>
        <w:tblLayout w:type="fixed"/>
        <w:tblLook w:val="0400"/>
      </w:tblPr>
      <w:tblGrid>
        <w:gridCol w:w="3016"/>
        <w:gridCol w:w="6618"/>
        <w:tblGridChange w:id="0">
          <w:tblGrid>
            <w:gridCol w:w="3016"/>
            <w:gridCol w:w="6618"/>
          </w:tblGrid>
        </w:tblGridChange>
      </w:tblGrid>
      <w:tr>
        <w:trPr>
          <w:cantSplit w:val="0"/>
          <w:trHeight w:val="136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Określenie zakresu i standardu prac wykończeniowych (Stan Deweloperski)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Ściany i sufity wewnętrzne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Tynki gipsowe maszynowe kat. III (w łazienkach cementowo-wapienne) lub płyty gipsowo-kartonowe przygotowane pod malowanie.</w:t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Posadzki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Szlichta cementowa/betonowa zbrojona, zatarta na gładko na warstwie izolacji termiczno-akustycznej, przygotowana do ułożenia posadzek.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Stolarka okienna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Okna PCV 3-szybowe (Uw0,9W/m2K), okleinowane w kolorze złotego dębu, z nawietrzakami okiennymi.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Drzwi wejściowe do lokalu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Drzwi antywłamaniowe, izolowane akustycznie i pożarowo (EI30).</w:t>
            </w:r>
          </w:p>
        </w:tc>
      </w:tr>
      <w:tr>
        <w:trPr>
          <w:cantSplit w:val="0"/>
          <w:trHeight w:val="1920" w:hRule="atLeast"/>
          <w:tblHeader w:val="0"/>
        </w:trPr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Instalacje w lokalu</w:t>
            </w:r>
          </w:p>
        </w:tc>
        <w:tc>
          <w:tcPr>
            <w:tcBorders>
              <w:top w:color="c4c7c5" w:space="0" w:sz="4" w:val="single"/>
              <w:left w:color="c4c7c5" w:space="0" w:sz="4" w:val="single"/>
              <w:bottom w:color="c4c7c5" w:space="0" w:sz="4" w:val="single"/>
              <w:right w:color="c4c7c5" w:space="0" w:sz="4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6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Kompletnie rozprowadzona instalacja elektryczna (gniazda i włączniki podtynkowe), C.O. (ogrzewanie grzejnikowe z zaworami termostatycznymi), wod-kan (podejścia bez białego montażu), instalacja teletechniczna (LAN Kat. 6, RTV, domofon audio-wideo).</w:t>
            </w:r>
          </w:p>
        </w:tc>
      </w:tr>
    </w:tbl>
    <w:p w:rsidR="00000000" w:rsidDel="00000000" w:rsidP="00000000" w:rsidRDefault="00000000" w:rsidRPr="00000000" w14:paraId="0000016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16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2834" w:left="1133" w:right="1132" w:header="720" w:footer="10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chivo"/>
  <w:font w:name="Archivo SemiBold"/>
  <w:font w:name="Calibri"/>
  <w:font w:name="Roboto Medium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2">
    <w:pPr>
      <w:rPr>
        <w:rFonts w:ascii="Archivo SemiBold" w:cs="Archivo SemiBold" w:eastAsia="Archivo SemiBold" w:hAnsi="Archivo SemiBold"/>
        <w:color w:val="088e7d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3">
    <w:pPr>
      <w:rPr>
        <w:rFonts w:ascii="Archivo SemiBold" w:cs="Archivo SemiBold" w:eastAsia="Archivo SemiBold" w:hAnsi="Archivo SemiBold"/>
        <w:color w:val="088e7d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4">
    <w:pPr>
      <w:rPr>
        <w:rFonts w:ascii="Archivo SemiBold" w:cs="Archivo SemiBold" w:eastAsia="Archivo SemiBold" w:hAnsi="Archivo SemiBold"/>
        <w:color w:val="088e7d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5">
    <w:pPr>
      <w:rPr>
        <w:rFonts w:ascii="Roboto Medium" w:cs="Roboto Medium" w:eastAsia="Roboto Medium" w:hAnsi="Roboto Medium"/>
        <w:color w:val="088e7d"/>
        <w:sz w:val="18"/>
        <w:szCs w:val="18"/>
      </w:rPr>
    </w:pPr>
    <w:r w:rsidDel="00000000" w:rsidR="00000000" w:rsidRPr="00000000">
      <w:rPr>
        <w:rFonts w:ascii="Archivo SemiBold" w:cs="Archivo SemiBold" w:eastAsia="Archivo SemiBold" w:hAnsi="Archivo SemiBold"/>
        <w:color w:val="088e7d"/>
        <w:sz w:val="16"/>
        <w:szCs w:val="16"/>
        <w:rtl w:val="0"/>
      </w:rPr>
      <w:t xml:space="preserve">METRAŻERIA NIERUCHOMOŚCI      </w:t>
    </w:r>
    <w:r w:rsidDel="00000000" w:rsidR="00000000" w:rsidRPr="00000000">
      <w:rPr>
        <w:rFonts w:ascii="Archivo" w:cs="Archivo" w:eastAsia="Archivo" w:hAnsi="Archivo"/>
        <w:color w:val="088e7d"/>
        <w:sz w:val="16"/>
        <w:szCs w:val="16"/>
        <w:rtl w:val="0"/>
      </w:rPr>
      <w:t xml:space="preserve">ul. Srebrna 2, 14-200 Nowa Wieś                                                                                             </w:t>
    </w:r>
    <w:r w:rsidDel="00000000" w:rsidR="00000000" w:rsidRPr="00000000">
      <w:rPr>
        <w:rFonts w:ascii="Roboto Medium" w:cs="Roboto Medium" w:eastAsia="Roboto Medium" w:hAnsi="Roboto Medium"/>
        <w:color w:val="088e7d"/>
        <w:sz w:val="16"/>
        <w:szCs w:val="16"/>
        <w:rtl w:val="0"/>
      </w:rPr>
      <w:t xml:space="preserve"> </w:t>
    </w:r>
    <w:hyperlink r:id="rId1">
      <w:r w:rsidDel="00000000" w:rsidR="00000000" w:rsidRPr="00000000">
        <w:rPr>
          <w:rFonts w:ascii="Roboto Medium" w:cs="Roboto Medium" w:eastAsia="Roboto Medium" w:hAnsi="Roboto Medium"/>
          <w:color w:val="088e7d"/>
          <w:sz w:val="18"/>
          <w:szCs w:val="18"/>
          <w:rtl w:val="0"/>
        </w:rPr>
        <w:t xml:space="preserve">www.metrazeria.pl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E">
    <w:pPr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142875</wp:posOffset>
          </wp:positionV>
          <wp:extent cx="2066063" cy="38142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66063" cy="38142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6F">
    <w:pPr>
      <w:spacing w:line="360" w:lineRule="auto"/>
      <w:jc w:val="right"/>
      <w:rPr>
        <w:rFonts w:ascii="Archivo" w:cs="Archivo" w:eastAsia="Archivo" w:hAnsi="Archivo"/>
        <w:color w:val="088e7d"/>
        <w:sz w:val="18"/>
        <w:szCs w:val="18"/>
      </w:rPr>
    </w:pPr>
    <w:r w:rsidDel="00000000" w:rsidR="00000000" w:rsidRPr="00000000">
      <w:rPr>
        <w:rFonts w:ascii="Archivo" w:cs="Archivo" w:eastAsia="Archivo" w:hAnsi="Archivo"/>
        <w:b w:val="1"/>
        <w:bCs w:val="1"/>
        <w:color w:val="088e7d"/>
        <w:sz w:val="18"/>
        <w:szCs w:val="18"/>
        <w:rtl w:val="0"/>
      </w:rPr>
      <w:t xml:space="preserve">Tel:</w:t>
    </w:r>
    <w:r w:rsidDel="00000000" w:rsidR="00000000" w:rsidRPr="00000000">
      <w:rPr>
        <w:rFonts w:ascii="Archivo" w:cs="Archivo" w:eastAsia="Archivo" w:hAnsi="Archivo"/>
        <w:color w:val="088e7d"/>
        <w:sz w:val="18"/>
        <w:szCs w:val="18"/>
        <w:rtl w:val="0"/>
      </w:rPr>
      <w:t xml:space="preserve">  (+48) 531 981 124</w:t>
    </w:r>
  </w:p>
  <w:p w:rsidR="00000000" w:rsidDel="00000000" w:rsidP="00000000" w:rsidRDefault="00000000" w:rsidRPr="00000000" w14:paraId="00000170">
    <w:pPr>
      <w:spacing w:line="360" w:lineRule="auto"/>
      <w:jc w:val="right"/>
      <w:rPr>
        <w:rFonts w:ascii="Archivo" w:cs="Archivo" w:eastAsia="Archivo" w:hAnsi="Archivo"/>
        <w:color w:val="088e7d"/>
        <w:sz w:val="18"/>
        <w:szCs w:val="18"/>
      </w:rPr>
    </w:pPr>
    <w:r w:rsidDel="00000000" w:rsidR="00000000" w:rsidRPr="00000000">
      <w:rPr>
        <w:rFonts w:ascii="Archivo" w:cs="Archivo" w:eastAsia="Archivo" w:hAnsi="Archivo"/>
        <w:b w:val="1"/>
        <w:bCs w:val="1"/>
        <w:color w:val="088e7d"/>
        <w:sz w:val="18"/>
        <w:szCs w:val="18"/>
        <w:rtl w:val="0"/>
      </w:rPr>
      <w:t xml:space="preserve">E-mail:</w:t>
    </w:r>
    <w:r w:rsidDel="00000000" w:rsidR="00000000" w:rsidRPr="00000000">
      <w:rPr>
        <w:rFonts w:ascii="Archivo" w:cs="Archivo" w:eastAsia="Archivo" w:hAnsi="Archivo"/>
        <w:color w:val="088e7d"/>
        <w:sz w:val="18"/>
        <w:szCs w:val="18"/>
        <w:rtl w:val="0"/>
      </w:rPr>
      <w:t xml:space="preserve"> </w:t>
    </w:r>
    <w:r w:rsidDel="00000000" w:rsidR="00000000" w:rsidRPr="00000000">
      <w:rPr>
        <w:rFonts w:ascii="Archivo" w:cs="Archivo" w:eastAsia="Archivo" w:hAnsi="Archivo"/>
        <w:color w:val="339966"/>
        <w:sz w:val="18"/>
        <w:szCs w:val="18"/>
        <w:rtl w:val="0"/>
      </w:rPr>
      <w:t xml:space="preserve"> </w:t>
    </w:r>
    <w:hyperlink r:id="rId2">
      <w:r w:rsidDel="00000000" w:rsidR="00000000" w:rsidRPr="00000000">
        <w:rPr>
          <w:rFonts w:ascii="Archivo" w:cs="Archivo" w:eastAsia="Archivo" w:hAnsi="Archivo"/>
          <w:color w:val="339966"/>
          <w:sz w:val="18"/>
          <w:szCs w:val="18"/>
          <w:u w:val="none"/>
          <w:rtl w:val="0"/>
        </w:rPr>
        <w:t xml:space="preserve">biuro@metrazeria.com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71">
    <w:pPr>
      <w:jc w:val="right"/>
      <w:rPr>
        <w:rFonts w:ascii="Archivo" w:cs="Archivo" w:eastAsia="Archivo" w:hAnsi="Archivo"/>
        <w:color w:val="088e7d"/>
        <w:sz w:val="19"/>
        <w:szCs w:val="19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line="360" w:lineRule="auto"/>
    </w:pPr>
    <w:rPr>
      <w:rFonts w:ascii="Archivo" w:cs="Archivo" w:eastAsia="Archivo" w:hAnsi="Archivo"/>
      <w:b w:val="1"/>
      <w:bCs w:val="1"/>
      <w:sz w:val="35"/>
      <w:szCs w:val="35"/>
      <w:highlight w:val="white"/>
    </w:rPr>
  </w:style>
  <w:style w:type="paragraph" w:styleId="Subtitle">
    <w:name w:val="Subtitle"/>
    <w:basedOn w:val="Normal"/>
    <w:next w:val="Normal"/>
    <w:pPr>
      <w:keepNext w:val="1"/>
      <w:keepLines w:val="1"/>
      <w:spacing w:line="432" w:lineRule="auto"/>
    </w:pPr>
    <w:rPr>
      <w:rFonts w:ascii="Archivo SemiBold" w:cs="Archivo SemiBold" w:eastAsia="Archivo SemiBold" w:hAnsi="Archivo SemiBold"/>
      <w:sz w:val="25"/>
      <w:szCs w:val="25"/>
      <w:highlight w:val="whit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metrazeria.pl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biuro@metrazeri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